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/>
          <w:sz w:val="28"/>
          <w:szCs w:val="28"/>
          <w:lang w:val="uk-UA"/>
        </w:rPr>
        <w:t>ТОВ</w:t>
      </w:r>
      <w:r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  <w:lang w:val="uk-UA"/>
        </w:rPr>
        <w:t>Компан</w:t>
      </w:r>
      <w:r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>я</w:t>
      </w:r>
      <w:r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  <w:lang w:val="uk-UA"/>
        </w:rPr>
        <w:t>Х</w:t>
      </w:r>
      <w:r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>мпром</w:t>
      </w:r>
      <w:r>
        <w:rPr>
          <w:b/>
          <w:i/>
          <w:sz w:val="28"/>
          <w:szCs w:val="28"/>
        </w:rPr>
        <w:t>»</w:t>
      </w:r>
      <w:r>
        <w:rPr>
          <w:sz w:val="22"/>
          <w:szCs w:val="22"/>
        </w:rPr>
        <w:t xml:space="preserve"> т.  (0</w:t>
      </w:r>
      <w:r>
        <w:rPr>
          <w:sz w:val="22"/>
          <w:szCs w:val="22"/>
          <w:lang w:val="en-US"/>
        </w:rPr>
        <w:t>63</w:t>
      </w:r>
      <w:r>
        <w:rPr>
          <w:sz w:val="22"/>
          <w:szCs w:val="22"/>
        </w:rPr>
        <w:t>)568-26-26,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(063)</w:t>
      </w:r>
      <w:r>
        <w:rPr>
          <w:sz w:val="22"/>
          <w:szCs w:val="22"/>
          <w:lang w:val="en-US"/>
        </w:rPr>
        <w:t>578-23-66</w:t>
      </w:r>
    </w:p>
    <w:p>
      <w:pPr>
        <w:pStyle w:val="Normal"/>
        <w:rPr/>
      </w:pPr>
      <w:r>
        <w:rPr>
          <w:sz w:val="22"/>
          <w:szCs w:val="22"/>
        </w:rPr>
        <w:t xml:space="preserve">          </w:t>
      </w:r>
      <w:r>
        <w:rPr>
          <w:b/>
          <w:i/>
          <w:color w:val="0070C0"/>
          <w:sz w:val="22"/>
          <w:szCs w:val="22"/>
        </w:rPr>
        <w:t xml:space="preserve"> </w:t>
      </w:r>
      <w:r>
        <w:rPr>
          <w:b/>
          <w:i/>
          <w:color w:val="0070C0"/>
          <w:sz w:val="22"/>
          <w:szCs w:val="22"/>
        </w:rPr>
        <w:t xml:space="preserve">Прайс на  </w:t>
      </w:r>
      <w:r>
        <w:rPr>
          <w:b/>
          <w:i/>
          <w:color w:val="0070C0"/>
          <w:sz w:val="22"/>
          <w:szCs w:val="22"/>
          <w:lang w:val="en-US"/>
        </w:rPr>
        <w:t>01</w:t>
      </w:r>
      <w:r>
        <w:rPr>
          <w:b/>
          <w:i/>
          <w:color w:val="0070C0"/>
          <w:sz w:val="22"/>
          <w:szCs w:val="22"/>
          <w:lang w:val="en-US"/>
        </w:rPr>
        <w:t>/</w:t>
      </w:r>
      <w:r>
        <w:rPr>
          <w:b/>
          <w:i/>
          <w:color w:val="0070C0"/>
          <w:sz w:val="22"/>
          <w:szCs w:val="22"/>
          <w:lang w:val="en-US"/>
        </w:rPr>
        <w:t>0</w:t>
      </w:r>
      <w:r>
        <w:rPr>
          <w:b/>
          <w:i/>
          <w:color w:val="0070C0"/>
          <w:sz w:val="22"/>
          <w:szCs w:val="22"/>
          <w:lang w:val="en-US"/>
        </w:rPr>
        <w:t>1/</w:t>
      </w:r>
      <w:r>
        <w:rPr>
          <w:b/>
          <w:i/>
          <w:color w:val="0070C0"/>
          <w:sz w:val="22"/>
          <w:szCs w:val="22"/>
        </w:rPr>
        <w:t xml:space="preserve"> 20</w:t>
      </w:r>
      <w:r>
        <w:rPr>
          <w:b/>
          <w:i/>
          <w:color w:val="0070C0"/>
          <w:sz w:val="22"/>
          <w:szCs w:val="22"/>
          <w:lang w:val="en-US"/>
        </w:rPr>
        <w:t>2</w:t>
      </w:r>
      <w:r>
        <w:rPr>
          <w:b/>
          <w:i/>
          <w:color w:val="0070C0"/>
          <w:sz w:val="22"/>
          <w:szCs w:val="22"/>
          <w:lang w:val="en-US"/>
        </w:rPr>
        <w:t>4</w:t>
      </w:r>
      <w:r>
        <w:rPr>
          <w:b/>
          <w:i/>
          <w:color w:val="0070C0"/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сайт : 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himprom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com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ua</w:t>
        </w:r>
      </w:hyperlink>
    </w:p>
    <w:p>
      <w:pPr>
        <w:pStyle w:val="Normal"/>
        <w:jc w:val="center"/>
        <w:rPr>
          <w:b/>
          <w:b/>
          <w:color w:val="FF0000"/>
          <w:sz w:val="22"/>
          <w:szCs w:val="22"/>
        </w:rPr>
      </w:pPr>
      <w:r>
        <w:rPr>
          <w:sz w:val="17"/>
        </w:rPr>
      </w:r>
    </w:p>
    <w:tbl>
      <w:tblPr>
        <w:tblW w:w="7093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80"/>
        <w:gridCol w:w="718"/>
        <w:gridCol w:w="722"/>
        <w:gridCol w:w="1260"/>
        <w:gridCol w:w="1513"/>
      </w:tblGrid>
      <w:tr>
        <w:trPr>
          <w:trHeight w:val="183" w:hRule="atLeas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Наименование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Квалиф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Ед.  изм.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Цена, грн/ед.изм.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Фасовка, примечание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Аммиак водный 25%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литр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2</w:t>
            </w:r>
            <w:r>
              <w:rPr>
                <w:rFonts w:cs="Arial" w:ascii="Arial" w:hAnsi="Arial"/>
                <w:sz w:val="18"/>
                <w:szCs w:val="18"/>
                <w:lang w:val="uk-UA"/>
              </w:rPr>
              <w:t>4</w:t>
            </w:r>
            <w:r>
              <w:rPr>
                <w:rFonts w:cs="Arial" w:ascii="Arial" w:hAnsi="Arial"/>
                <w:sz w:val="18"/>
                <w:szCs w:val="18"/>
                <w:lang w:val="uk-UA"/>
              </w:rPr>
              <w:t>,60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Бочка 50л.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Вода дистилированная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Литр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6</w:t>
            </w:r>
            <w:r>
              <w:rPr>
                <w:rFonts w:cs="Arial" w:ascii="Arial" w:hAnsi="Arial"/>
                <w:sz w:val="18"/>
                <w:szCs w:val="18"/>
              </w:rPr>
              <w:t>,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0</w:t>
            </w: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10,20,50л.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Гипохлорит натрия марка «А»</w:t>
            </w:r>
          </w:p>
        </w:tc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Тех.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uk-UA"/>
              </w:rPr>
              <w:t>34,00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налив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известь хлорная сорт 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25,00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Мешки 20 кг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Известь хлорная сорт 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30,00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Мешки 20кг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Калий хлористый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24,60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Мешки 50 кг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Карбамид (мочевина)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30,00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Мешки 50кг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Кислота азотная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34,60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налив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Кислота ортофосфор 75%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имп/пищ.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90,00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Канистры 30 кг</w:t>
            </w:r>
          </w:p>
        </w:tc>
      </w:tr>
      <w:tr>
        <w:trPr>
          <w:trHeight w:val="138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Кислота ортофосфор 85%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пищ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Кан 35кг/1650кг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Кислота соляная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налив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Кислота серная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cs="Arial" w:ascii="Arial" w:hAnsi="Arial"/>
                <w:sz w:val="18"/>
                <w:szCs w:val="18"/>
                <w:lang w:val="ru-RU"/>
              </w:rPr>
              <w:t>38,60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Мешки 25 кг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Кислота уксусная 99,9%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пищ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86,60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Куб1050кг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Кислота уксусная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пищ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96,00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Канистра 20л.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Натрий гидр.(сода кауст.)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гран.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36,00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Мешки 25 кг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Натрий гидр(сода кауст)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рідка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30,00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Мешки 25кг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Парафин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пищ./</w:t>
            </w:r>
            <w:r>
              <w:rPr>
                <w:rFonts w:cs="Arial" w:ascii="Arial" w:hAnsi="Arial"/>
                <w:sz w:val="18"/>
                <w:szCs w:val="18"/>
                <w:lang w:val="uk-UA"/>
              </w:rPr>
              <w:t>тех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Мешки 25 кг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Перекись водорода 35%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Мед.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6</w:t>
            </w:r>
            <w:r>
              <w:rPr>
                <w:rFonts w:cs="Arial" w:ascii="Arial" w:hAnsi="Arial"/>
                <w:sz w:val="18"/>
                <w:szCs w:val="18"/>
                <w:lang w:val="uk-UA"/>
              </w:rPr>
              <w:t>0</w:t>
            </w:r>
            <w:r>
              <w:rPr>
                <w:rFonts w:cs="Arial" w:ascii="Arial" w:hAnsi="Arial"/>
                <w:sz w:val="18"/>
                <w:szCs w:val="18"/>
                <w:lang w:val="uk-UA"/>
              </w:rPr>
              <w:t>,60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Кан 20/11 кг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Перекись водорода 50%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  <w:lang w:val="uk-UA"/>
              </w:rPr>
              <w:t>72</w:t>
            </w:r>
            <w:r>
              <w:rPr>
                <w:sz w:val="18"/>
                <w:szCs w:val="18"/>
              </w:rPr>
              <w:t>,60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Налив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Перекись водорода 60%</w:t>
            </w:r>
          </w:p>
        </w:tc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Мед.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  <w:lang w:val="en-US"/>
              </w:rPr>
              <w:t>86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Налив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Сера молотая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24,60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Мешки 25 кг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en-US"/>
              </w:rPr>
              <w:t>Cера гранулированная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24</w:t>
            </w:r>
            <w:r>
              <w:rPr>
                <w:rFonts w:cs="Arial" w:ascii="Arial" w:hAnsi="Arial"/>
                <w:sz w:val="18"/>
                <w:szCs w:val="18"/>
              </w:rPr>
              <w:t>,60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Мешки 1т,  30кг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Сода кальцинированная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Мешки 25 кг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Соль таблетирован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64,00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Мешки 25кг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Р</w:t>
            </w:r>
            <w:r>
              <w:rPr>
                <w:rFonts w:cs="Arial" w:ascii="Arial" w:hAnsi="Arial"/>
                <w:sz w:val="18"/>
                <w:szCs w:val="18"/>
                <w:lang w:val="uk-UA"/>
              </w:rPr>
              <w:t>озчин соляної кислоти 13,5%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24,00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eastAsia="Times New Roman" w:cs="Arial"/>
                <w:color w:val="auto"/>
                <w:kern w:val="0"/>
                <w:sz w:val="18"/>
                <w:szCs w:val="18"/>
                <w:lang w:val="uk-UA" w:eastAsia="ru-RU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8"/>
                <w:szCs w:val="18"/>
                <w:lang w:val="uk-UA" w:eastAsia="ru-RU" w:bidi="ar-SA"/>
              </w:rPr>
              <w:t>Налив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Розчин сірчаної кислоти 43,5%</w:t>
            </w:r>
          </w:p>
        </w:tc>
        <w:tc>
          <w:tcPr>
            <w:tcW w:w="7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тех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cs="Arial" w:ascii="Arial" w:hAnsi="Arial"/>
                <w:sz w:val="18"/>
                <w:szCs w:val="18"/>
                <w:lang w:val="uk-UA"/>
              </w:rPr>
              <w:t>кг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30,00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8"/>
                <w:szCs w:val="18"/>
                <w:lang w:val="uk-UA" w:eastAsia="ru-RU" w:bidi="ar-SA"/>
              </w:rPr>
              <w:t>Налив</w:t>
            </w:r>
          </w:p>
        </w:tc>
      </w:tr>
      <w:tr>
        <w:trPr>
          <w:trHeight w:val="183" w:hRule="atLeast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Электролит кислотный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27-29%</w:t>
            </w:r>
          </w:p>
        </w:tc>
        <w:tc>
          <w:tcPr>
            <w:tcW w:w="7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Тех.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24</w:t>
            </w:r>
            <w:r>
              <w:rPr>
                <w:rFonts w:cs="Arial" w:ascii="Arial" w:hAnsi="Arial"/>
                <w:sz w:val="18"/>
                <w:szCs w:val="18"/>
              </w:rPr>
              <w:t>,60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10,20,50л.</w:t>
            </w:r>
          </w:p>
        </w:tc>
      </w:tr>
    </w:tbl>
    <w:p>
      <w:pPr>
        <w:pStyle w:val="NormalWeb"/>
        <w:spacing w:before="280" w:after="280"/>
        <w:jc w:val="both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tbl>
      <w:tblPr>
        <w:tblW w:w="7093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629"/>
        <w:gridCol w:w="541"/>
        <w:gridCol w:w="1260"/>
        <w:gridCol w:w="1513"/>
      </w:tblGrid>
      <w:tr>
        <w:trPr>
          <w:trHeight w:val="183" w:hRule="atLeast"/>
        </w:trPr>
        <w:tc>
          <w:tcPr>
            <w:tcW w:w="709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b/>
                <w:b/>
                <w:i/>
                <w:i/>
                <w:color w:val="FF0000"/>
                <w:sz w:val="17"/>
                <w:szCs w:val="17"/>
              </w:rPr>
            </w:pPr>
            <w:r>
              <w:rPr>
                <w:rFonts w:cs="Arial" w:ascii="Arial" w:hAnsi="Arial"/>
                <w:b/>
                <w:i/>
                <w:color w:val="FF0000"/>
                <w:sz w:val="17"/>
                <w:szCs w:val="17"/>
              </w:rPr>
              <w:t>Тара для перевозки и хранения химических жидкостей</w:t>
            </w:r>
          </w:p>
        </w:tc>
      </w:tr>
      <w:tr>
        <w:trPr>
          <w:trHeight w:val="329" w:hRule="atLeast"/>
        </w:trPr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Канистра п/э 10л. штабилируемая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тех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Шт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/>
            </w:pPr>
            <w:r>
              <w:rPr>
                <w:rFonts w:cs="Arial" w:ascii="Arial" w:hAnsi="Arial"/>
                <w:color w:val="000000"/>
                <w:sz w:val="17"/>
                <w:szCs w:val="17"/>
                <w:lang w:val="uk-UA"/>
              </w:rPr>
              <w:t>9</w:t>
            </w:r>
            <w:r>
              <w:rPr>
                <w:rFonts w:cs="Arial" w:ascii="Arial" w:hAnsi="Arial"/>
                <w:color w:val="000000"/>
                <w:sz w:val="17"/>
                <w:szCs w:val="17"/>
                <w:lang w:val="uk-UA"/>
              </w:rPr>
              <w:t>0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16шт в упаковке</w:t>
            </w:r>
          </w:p>
        </w:tc>
      </w:tr>
      <w:tr>
        <w:trPr>
          <w:trHeight w:val="183" w:hRule="atLeast"/>
        </w:trPr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Канистра п/э 20л.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тех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Шт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lang w:val="uk-UA"/>
              </w:rPr>
            </w:pPr>
            <w:r>
              <w:rPr>
                <w:rFonts w:cs="Arial" w:ascii="Arial" w:hAnsi="Arial"/>
                <w:color w:val="000000"/>
                <w:sz w:val="17"/>
                <w:szCs w:val="17"/>
                <w:lang w:val="uk-UA"/>
              </w:rPr>
              <w:t>1</w:t>
            </w:r>
            <w:r>
              <w:rPr>
                <w:rFonts w:cs="Arial" w:ascii="Arial" w:hAnsi="Arial"/>
                <w:color w:val="000000"/>
                <w:sz w:val="17"/>
                <w:szCs w:val="17"/>
                <w:lang w:val="uk-UA"/>
              </w:rPr>
              <w:t>5</w:t>
            </w:r>
            <w:r>
              <w:rPr>
                <w:rFonts w:cs="Arial" w:ascii="Arial" w:hAnsi="Arial"/>
                <w:color w:val="000000"/>
                <w:sz w:val="17"/>
                <w:szCs w:val="17"/>
                <w:lang w:val="uk-UA"/>
              </w:rPr>
              <w:t>0,00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545" w:hanging="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cs="Arial" w:ascii="Arial" w:hAnsi="Arial"/>
                <w:color w:val="000000"/>
                <w:sz w:val="17"/>
                <w:szCs w:val="17"/>
              </w:rPr>
            </w:r>
          </w:p>
        </w:tc>
      </w:tr>
      <w:tr>
        <w:trPr>
          <w:trHeight w:val="183" w:hRule="atLeast"/>
        </w:trPr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Бочка п/э 50л.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тех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Шт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lang w:val="uk-UA"/>
              </w:rPr>
            </w:pPr>
            <w:r>
              <w:rPr>
                <w:rFonts w:cs="Arial" w:ascii="Arial" w:hAnsi="Arial"/>
                <w:color w:val="000000"/>
                <w:sz w:val="17"/>
                <w:szCs w:val="17"/>
                <w:lang w:val="uk-UA"/>
              </w:rPr>
              <w:t>350</w:t>
            </w:r>
            <w:r>
              <w:rPr>
                <w:rFonts w:cs="Arial" w:ascii="Arial" w:hAnsi="Arial"/>
                <w:color w:val="000000"/>
                <w:sz w:val="17"/>
                <w:szCs w:val="17"/>
                <w:lang w:val="uk-UA"/>
              </w:rPr>
              <w:t>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545" w:hanging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>
              <w:rPr>
                <w:rFonts w:cs="Arial" w:ascii="Arial" w:hAnsi="Arial"/>
                <w:color w:val="000000"/>
                <w:sz w:val="17"/>
                <w:szCs w:val="17"/>
                <w:lang w:val="en-US"/>
              </w:rPr>
            </w:r>
          </w:p>
        </w:tc>
      </w:tr>
      <w:tr>
        <w:trPr>
          <w:trHeight w:val="183" w:hRule="atLeast"/>
        </w:trPr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Контейнер п/э1000л.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тех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Шт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545" w:hanging="0"/>
              <w:jc w:val="both"/>
              <w:rPr>
                <w:lang w:val="uk-UA"/>
              </w:rPr>
            </w:pPr>
            <w:r>
              <w:rPr>
                <w:rFonts w:cs="Arial" w:ascii="Arial" w:hAnsi="Arial"/>
                <w:sz w:val="17"/>
                <w:szCs w:val="17"/>
                <w:lang w:val="uk-UA"/>
              </w:rPr>
              <w:t>4</w:t>
            </w:r>
            <w:r>
              <w:rPr>
                <w:rFonts w:cs="Arial" w:ascii="Arial" w:hAnsi="Arial"/>
                <w:sz w:val="17"/>
                <w:szCs w:val="17"/>
                <w:lang w:val="uk-UA"/>
              </w:rPr>
              <w:t>8</w:t>
            </w:r>
            <w:r>
              <w:rPr>
                <w:rFonts w:cs="Arial" w:ascii="Arial" w:hAnsi="Arial"/>
                <w:sz w:val="17"/>
                <w:szCs w:val="17"/>
                <w:lang w:val="uk-UA"/>
              </w:rPr>
              <w:t>00,00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545" w:hanging="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continuous"/>
      <w:pgSz w:orient="landscape" w:w="16838" w:h="11906"/>
      <w:pgMar w:left="1134" w:right="1134" w:header="709" w:top="851" w:footer="0" w:bottom="899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style="position:absolute;margin-left:722.4pt;margin-top:0.05pt;width:6pt;height:13.6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c275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c2750"/>
    <w:pPr>
      <w:keepNext w:val="true"/>
      <w:jc w:val="both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Normal"/>
    <w:next w:val="Normal"/>
    <w:qFormat/>
    <w:rsid w:val="009c2750"/>
    <w:pPr>
      <w:keepNext w:val="true"/>
      <w:outlineLvl w:val="1"/>
    </w:pPr>
    <w:rPr>
      <w:rFonts w:ascii="Arial" w:hAnsi="Arial" w:cs="Arial"/>
      <w:b/>
      <w:bCs/>
      <w:i/>
      <w:iCs/>
      <w:sz w:val="17"/>
    </w:rPr>
  </w:style>
  <w:style w:type="paragraph" w:styleId="3">
    <w:name w:val="Heading 3"/>
    <w:basedOn w:val="Normal"/>
    <w:next w:val="Normal"/>
    <w:qFormat/>
    <w:rsid w:val="009c2750"/>
    <w:pPr>
      <w:keepNext w:val="true"/>
      <w:ind w:right="-545" w:hanging="0"/>
      <w:jc w:val="both"/>
      <w:outlineLvl w:val="2"/>
    </w:pPr>
    <w:rPr>
      <w:rFonts w:ascii="Arial" w:hAnsi="Arial" w:cs="Arial"/>
      <w:b/>
      <w:bCs/>
      <w:i/>
      <w:iCs/>
      <w:sz w:val="20"/>
    </w:rPr>
  </w:style>
  <w:style w:type="paragraph" w:styleId="4">
    <w:name w:val="Heading 4"/>
    <w:basedOn w:val="Normal"/>
    <w:next w:val="Normal"/>
    <w:qFormat/>
    <w:rsid w:val="009c2750"/>
    <w:pPr>
      <w:keepNext w:val="true"/>
      <w:outlineLvl w:val="3"/>
    </w:pPr>
    <w:rPr>
      <w:rFonts w:ascii="Arial" w:hAnsi="Arial" w:cs="Arial"/>
      <w:b/>
      <w:bCs/>
      <w:i/>
      <w:iCs/>
      <w:sz w:val="20"/>
    </w:rPr>
  </w:style>
  <w:style w:type="paragraph" w:styleId="5">
    <w:name w:val="Heading 5"/>
    <w:basedOn w:val="Normal"/>
    <w:next w:val="Normal"/>
    <w:qFormat/>
    <w:rsid w:val="009c2750"/>
    <w:pPr>
      <w:keepNext w:val="true"/>
      <w:outlineLvl w:val="4"/>
    </w:pPr>
    <w:rPr>
      <w:b/>
      <w:bCs/>
      <w:i/>
      <w:iCs/>
      <w:sz w:val="28"/>
    </w:rPr>
  </w:style>
  <w:style w:type="paragraph" w:styleId="6">
    <w:name w:val="Heading 6"/>
    <w:basedOn w:val="Normal"/>
    <w:next w:val="Normal"/>
    <w:qFormat/>
    <w:rsid w:val="009c2750"/>
    <w:pPr>
      <w:keepNext w:val="true"/>
      <w:outlineLvl w:val="5"/>
    </w:pPr>
    <w:rPr>
      <w:b/>
      <w:bCs/>
      <w:sz w:val="28"/>
    </w:rPr>
  </w:style>
  <w:style w:type="paragraph" w:styleId="7">
    <w:name w:val="Heading 7"/>
    <w:basedOn w:val="Normal"/>
    <w:next w:val="Normal"/>
    <w:qFormat/>
    <w:rsid w:val="009c2750"/>
    <w:pPr>
      <w:keepNext w:val="true"/>
      <w:jc w:val="center"/>
      <w:outlineLvl w:val="6"/>
    </w:pPr>
    <w:rPr>
      <w:rFonts w:ascii="Arial" w:hAnsi="Arial" w:cs="Arial"/>
      <w:i/>
      <w:iCs/>
      <w:sz w:val="28"/>
    </w:rPr>
  </w:style>
  <w:style w:type="paragraph" w:styleId="8">
    <w:name w:val="Heading 8"/>
    <w:basedOn w:val="Normal"/>
    <w:next w:val="Normal"/>
    <w:qFormat/>
    <w:rsid w:val="009c2750"/>
    <w:pPr>
      <w:keepNext w:val="true"/>
      <w:jc w:val="both"/>
      <w:outlineLvl w:val="7"/>
    </w:pPr>
    <w:rPr>
      <w:rFonts w:ascii="Arial" w:hAnsi="Arial" w:cs="Arial"/>
      <w:b/>
      <w:bCs/>
      <w:sz w:val="16"/>
    </w:rPr>
  </w:style>
  <w:style w:type="paragraph" w:styleId="9">
    <w:name w:val="Heading 9"/>
    <w:basedOn w:val="Normal"/>
    <w:next w:val="Normal"/>
    <w:qFormat/>
    <w:rsid w:val="009c2750"/>
    <w:pPr>
      <w:keepNext w:val="true"/>
      <w:outlineLvl w:val="8"/>
    </w:pPr>
    <w:rPr>
      <w:rFonts w:ascii="Arial" w:hAnsi="Arial" w:cs="Arial"/>
      <w:b/>
      <w:bCs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c2750"/>
    <w:rPr/>
  </w:style>
  <w:style w:type="character" w:styleId="Style5">
    <w:name w:val="Интернет-ссылка"/>
    <w:basedOn w:val="DefaultParagraphFont"/>
    <w:rsid w:val="00d83fd0"/>
    <w:rPr>
      <w:color w:val="0000FF"/>
      <w:u w:val="single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7">
    <w:name w:val="Body Text"/>
    <w:basedOn w:val="Normal"/>
    <w:rsid w:val="009c2750"/>
    <w:pPr>
      <w:jc w:val="center"/>
    </w:pPr>
    <w:rPr>
      <w:rFonts w:ascii="Arial" w:hAnsi="Arial" w:cs="Arial"/>
      <w:sz w:val="28"/>
    </w:rPr>
  </w:style>
  <w:style w:type="paragraph" w:styleId="Style8">
    <w:name w:val="List"/>
    <w:basedOn w:val="Style7"/>
    <w:pPr/>
    <w:rPr>
      <w:rFonts w:cs="Arial Unicode MS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rsid w:val="009c2750"/>
    <w:pPr>
      <w:spacing w:beforeAutospacing="1" w:afterAutospacing="1"/>
    </w:pPr>
    <w:rPr/>
  </w:style>
  <w:style w:type="paragraph" w:styleId="BodyText2">
    <w:name w:val="Body Text 2"/>
    <w:basedOn w:val="Normal"/>
    <w:qFormat/>
    <w:rsid w:val="009c2750"/>
    <w:pPr/>
    <w:rPr>
      <w:rFonts w:ascii="Arial" w:hAnsi="Arial" w:cs="Arial"/>
      <w:sz w:val="22"/>
    </w:rPr>
  </w:style>
  <w:style w:type="paragraph" w:styleId="BodyText3">
    <w:name w:val="Body Text 3"/>
    <w:basedOn w:val="Normal"/>
    <w:qFormat/>
    <w:rsid w:val="009c2750"/>
    <w:pPr>
      <w:jc w:val="both"/>
    </w:pPr>
    <w:rPr>
      <w:rFonts w:ascii="Arial" w:hAnsi="Arial" w:cs="Arial"/>
      <w:sz w:val="22"/>
    </w:rPr>
  </w:style>
  <w:style w:type="paragraph" w:styleId="Style11">
    <w:name w:val="Верхний и нижний колонтитулы"/>
    <w:basedOn w:val="Normal"/>
    <w:qFormat/>
    <w:pPr/>
    <w:rPr/>
  </w:style>
  <w:style w:type="paragraph" w:styleId="Style12">
    <w:name w:val="Header"/>
    <w:basedOn w:val="Normal"/>
    <w:rsid w:val="009c27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3">
    <w:name w:val="Title"/>
    <w:basedOn w:val="Normal"/>
    <w:qFormat/>
    <w:rsid w:val="009c2750"/>
    <w:pPr>
      <w:jc w:val="center"/>
    </w:pPr>
    <w:rPr>
      <w:rFonts w:ascii="Arial" w:hAnsi="Arial" w:cs="Arial"/>
      <w:b/>
      <w:bCs/>
    </w:rPr>
  </w:style>
  <w:style w:type="paragraph" w:styleId="Style14">
    <w:name w:val="Body Text Indent"/>
    <w:basedOn w:val="Normal"/>
    <w:rsid w:val="009c2750"/>
    <w:pPr>
      <w:ind w:left="360" w:firstLine="348"/>
      <w:jc w:val="both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qFormat/>
    <w:rsid w:val="009c2750"/>
    <w:pPr>
      <w:ind w:firstLine="708"/>
    </w:pPr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qFormat/>
    <w:rsid w:val="009c2750"/>
    <w:pPr>
      <w:ind w:firstLine="708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qFormat/>
    <w:rsid w:val="000a43a1"/>
    <w:pPr/>
    <w:rPr>
      <w:rFonts w:ascii="Tahoma" w:hAnsi="Tahoma" w:cs="Tahoma"/>
      <w:sz w:val="16"/>
      <w:szCs w:val="16"/>
    </w:rPr>
  </w:style>
  <w:style w:type="paragraph" w:styleId="Style1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e335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improm.com.ua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DDF8-B963-421E-B836-5E91F516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LibreOffice/7.1.3.2$Windows_X86_64 LibreOffice_project/47f78053abe362b9384784d31a6e56f8511eb1c1</Application>
  <AppVersion>15.0000</AppVersion>
  <Pages>1</Pages>
  <Words>264</Words>
  <Characters>1344</Characters>
  <CharactersWithSpaces>1468</CharactersWithSpaces>
  <Paragraphs>160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2020-08-06T08:22:00Z</dcterms:created>
  <dc:creator>Big1</dc:creator>
  <dc:description/>
  <dc:language>en-US</dc:language>
  <cp:lastModifiedBy/>
  <cp:lastPrinted>2020-02-26T08:41:00Z</cp:lastPrinted>
  <dcterms:modified xsi:type="dcterms:W3CDTF">2023-12-28T09:48:47Z</dcterms:modified>
  <cp:revision>10</cp:revision>
  <dc:subject/>
  <dc:title>Предприятие "Химсистема-фарм" является организацией, специализирующейся на поставках сырья и материалов для различных отраслей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